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73" w:rsidRPr="004D0B73" w:rsidRDefault="004D0B73" w:rsidP="004D0B73">
      <w:pPr>
        <w:spacing w:after="0" w:line="240" w:lineRule="auto"/>
        <w:jc w:val="center"/>
        <w:rPr>
          <w:rFonts w:ascii="Roboto" w:eastAsia="Times New Roman" w:hAnsi="Roboto" w:cs="Times New Roman"/>
          <w:b/>
          <w:bCs/>
          <w:color w:val="000000"/>
          <w:sz w:val="38"/>
          <w:szCs w:val="38"/>
          <w:lang w:eastAsia="ru-RU"/>
        </w:rPr>
      </w:pPr>
      <w:r w:rsidRPr="004D0B73">
        <w:rPr>
          <w:rFonts w:ascii="Roboto" w:eastAsia="Times New Roman" w:hAnsi="Roboto" w:cs="Times New Roman"/>
          <w:b/>
          <w:bCs/>
          <w:color w:val="000000"/>
          <w:sz w:val="38"/>
          <w:szCs w:val="38"/>
          <w:lang w:eastAsia="ru-RU"/>
        </w:rPr>
        <w:t>Документы, предоставляемые для получения бесплатной юридической помощи</w:t>
      </w:r>
    </w:p>
    <w:p w:rsidR="004D0B73" w:rsidRPr="004D0B73" w:rsidRDefault="004D0B73" w:rsidP="004D0B73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</w:p>
    <w:p w:rsidR="004D0B73" w:rsidRPr="004D0B73" w:rsidRDefault="004D0B73" w:rsidP="004D0B73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  <w:t> </w:t>
      </w:r>
    </w:p>
    <w:p w:rsidR="004D0B73" w:rsidRPr="004D0B73" w:rsidRDefault="004D0B73" w:rsidP="004D0B73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eastAsia="Times New Roman" w:cs="Times New Roman"/>
          <w:b/>
          <w:bCs/>
          <w:color w:val="000000"/>
          <w:szCs w:val="28"/>
          <w:lang w:eastAsia="ru-RU"/>
        </w:rPr>
        <w:t>Документы, предоставляемые для получения бесплатной юридической помощи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  <w:t> </w:t>
      </w:r>
    </w:p>
    <w:p w:rsidR="004D0B73" w:rsidRPr="004D0B73" w:rsidRDefault="004D0B73" w:rsidP="004D0B73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proofErr w:type="gramStart"/>
      <w:r w:rsidRPr="004D0B73">
        <w:rPr>
          <w:rFonts w:ascii="Calibri" w:eastAsia="Times New Roman" w:hAnsi="Calibri" w:cs="Calibri"/>
          <w:b/>
          <w:bCs/>
          <w:color w:val="000000"/>
          <w:sz w:val="22"/>
          <w:lang w:eastAsia="ru-RU"/>
        </w:rPr>
        <w:t>(Статья 13 Закона Республики Крым от 01.09.2014 N 59-ЗРК (ред. от 09.01.2018)</w:t>
      </w:r>
      <w:bookmarkStart w:id="0" w:name="_GoBack"/>
      <w:bookmarkEnd w:id="0"/>
      <w:r w:rsidRPr="004D0B73">
        <w:rPr>
          <w:rFonts w:ascii="Calibri" w:eastAsia="Times New Roman" w:hAnsi="Calibri" w:cs="Calibri"/>
          <w:b/>
          <w:bCs/>
          <w:color w:val="000000"/>
          <w:sz w:val="22"/>
          <w:lang w:eastAsia="ru-RU"/>
        </w:rPr>
        <w:t xml:space="preserve"> "О бесплатной юридической помощи в Республике Крым"</w:t>
      </w:r>
      <w:proofErr w:type="gramEnd"/>
    </w:p>
    <w:p w:rsidR="004D0B73" w:rsidRPr="004D0B73" w:rsidRDefault="004D0B73" w:rsidP="004D0B73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Calibri" w:eastAsia="Times New Roman" w:hAnsi="Calibri" w:cs="Calibri"/>
          <w:b/>
          <w:bCs/>
          <w:color w:val="000000"/>
          <w:sz w:val="22"/>
          <w:lang w:eastAsia="ru-RU"/>
        </w:rPr>
        <w:t>(принят Государственным Советом Республики Крым 08.08.2014)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  <w:t> 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  <w:t> 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1. Для получения бесплатной юридической помощи в порядке, предусмотренном настоящим Законом, граждане (их законные представители или представители) представляют следующие документы: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bookmarkStart w:id="1" w:name="P203"/>
      <w:bookmarkEnd w:id="1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1) заявление об оказании бесплатной юридической помощи по форме, утверждаемой Советом министров Республики Крым (для всех категорий граждан, указанных в части 1 статьи 12 и в статье 15 настоящего Закона), кроме случаев обращения об оказании бесплатной юридической помощи в виде правового консультирования в устной форме;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bookmarkStart w:id="2" w:name="P204"/>
      <w:bookmarkEnd w:id="2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2) паспорт гражданина Российской Федерации или иной документ, удостоверяющий личность и подтверждающий гражданство Российской Федерации (для всех категорий граждан, указанных в части 1 статьи 12 настоящего Закона);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proofErr w:type="gramStart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3) справку о признании в установленном законодательством порядке гражданина малоимущим и нуждающимся в государственной социальной помощи, выданную органом социальной защиты населения по месту жительства (далее - орган социальной защиты населения) в течение 10 дней со дня подачи соответствующего обращения (для категорий граждан, указанных в пункте 1 части 1 статьи 12 настоящего Закона);</w:t>
      </w:r>
      <w:proofErr w:type="gramEnd"/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4) документы, подтверждающие статус инвалидов и лиц, пострадавших в результате Чернобыльской катастрофы, перечень которых определен Советом министров Республики Крым (для категорий граждан, указанных в пункте 2 части 1 статьи 12 настоящего Закона);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5) удостоверение ветерана Великой Отечественной войны, Героя Российской Федерации, Героя Советского Союза, Героя Социалистического Труда, Героя Труда Российской Федерации, Героя Украины (для категорий граждан, указанных в пункте 3 части 1 статьи 12 настоящего Закона);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proofErr w:type="gramStart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6) документы, подтверждающие статус детей-инвалидов, детей-сирот, детей, оставшихся без попечения родителей, а также лиц из числа детей-сирот и детей, оставшихся без попечения родителей (для категорий граждан, указанных в пункте 4 части 1 статьи 12 настоящего Закона), документы, подтверждающие полномочия законных представителей и представителей (для законных представителей и представителей детей, а также лиц из числа детей-сирот и детей, оставшихся без попечения</w:t>
      </w:r>
      <w:proofErr w:type="gramEnd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 xml:space="preserve"> родителей, указанных в пункте 4 части 1 статьи 12 настоящего Закона);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7) копию свидетельства о рождении, документы, подтверждающие факт усыновления или удочерения (для категорий граждан, указанных в пункте 6 части 1 статьи 12 настоящего Закона);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proofErr w:type="gramStart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8) справку, подтверждающую проживание гражданина в организации социального обслуживания, предоставляющей услуги в стационарной форме, выданную руководителем такой организации (для категории граждан, указанных в пункте 7 части 1 статьи 12 настоящего Закона), документы, подтверждающие полномочия законных представителей и представителей (для законных представителей и представителей граждан, указанных в пункте 7 части 1 статьи 12 настоящего Закона), ходатайство об оказании бесплатной юридической помощи</w:t>
      </w:r>
      <w:proofErr w:type="gramEnd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, направленное организацией социального обслуживания, предоставляющей услуги в стационарной форме, в которой проживает гражданин, при условии, что самим гражданином, его законным представителем или представителем представлены документы, предусмотренные пунктами 1 и 2 части 1 настоящей статьи;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proofErr w:type="gramStart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 xml:space="preserve">9) справку, подтверждающую факт нахождения несовершеннолетнего в учреждении системы профилактики безнадзорности и правонарушений несовершеннолетних либо в местах лишения </w:t>
      </w:r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lastRenderedPageBreak/>
        <w:t>свободы (для категорий граждан, указанных в пункте 8 части 1 статьи 12 настоящего Закона), документы, подтверждающие полномочия законных представителей и представителей (для законных представителей и представителей несовершеннолетних, указанных в пункте 8 части 1 статьи 12 настоящего Закона), ходатайство об оказании бесплатной юридической</w:t>
      </w:r>
      <w:proofErr w:type="gramEnd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 xml:space="preserve"> </w:t>
      </w:r>
      <w:proofErr w:type="gramStart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помощи, направленное руководителями учреждений системы профилактики безнадзорности и правонарушений несовершеннолетних или службы исполнения наказаний, органами опеки и попечительства, а также комиссиями по делам несовершеннолетних и защите их прав, созданными при органах социальной защиты, при условии, что самим гражданином, его законным представителем или представителем представлены документы, предусмотренные пунктами 1 и 2 части 1 настоящей статьи;</w:t>
      </w:r>
      <w:proofErr w:type="gramEnd"/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proofErr w:type="gramStart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10) справку или иной документ медицинского учреждения, подтверждающий оказание лицу, страдающему психическими расстройствами, психиатрической помощи (для категорий граждан, указанных в пункте 9 части 1 статьи 12 настоящего Закона), документы, подтверждающие полномочия законных представителей и представителей (для законных представителей и представителей несовершеннолетних, указанных в пункте 9 части 1 статьи 12 настоящего Закона), ходатайство об оказании бесплатной юридической помощи, направленное администрацией учреждения</w:t>
      </w:r>
      <w:proofErr w:type="gramEnd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, оказывающего гражданину психиатрическую помощь, при условии, что самим гражданином, его законным представителем или представителем представлены документы, предусмотренные пунктами 1 и 2 части 1 настоящей статьи;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proofErr w:type="gramStart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11) решение суда о признании гражданина недееспособным (для категорий граждан, указанных в пункте 10 части 1 статьи 12 настоящего Закона), документы, подтверждающие полномочия представителей (для законных представителей и представителей лиц, признанных судом недееспособными, указанных в пункте 10 части 1 статьи 12 настоящего Закона);</w:t>
      </w:r>
      <w:proofErr w:type="gramEnd"/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12) направление на оказание бесплатной юридической помощи гражданам, пострадавшим в результате чрезвычайной ситуации, выданное в порядке определенном Советом министров Республики Крым (для категорий граждан, указанных в пункте 11.1 части 1 статьи 12 настоящего Закона);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proofErr w:type="gramStart"/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13) документы, подтверждающие принадлежность к другим категориям граждан,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законодательством Российской Федерации и настоящим Законом (для категорий граждан, указанных в пункте 12 части 1 статьи 12 настоящего Закона).</w:t>
      </w:r>
      <w:proofErr w:type="gramEnd"/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Calibri" w:eastAsia="Times New Roman" w:hAnsi="Calibri" w:cs="Calibri"/>
          <w:color w:val="000000"/>
          <w:sz w:val="22"/>
          <w:lang w:eastAsia="ru-RU"/>
        </w:rPr>
        <w:t>2. Для получения бесплатной юридической помощи в порядке, предусмотренном настоящим Законом, граждане, их законные представители и представители дают согласие на обработку своих персональных данных в соответствии с законодательством Российской Федерации.</w:t>
      </w:r>
    </w:p>
    <w:p w:rsidR="004D0B73" w:rsidRPr="004D0B73" w:rsidRDefault="004D0B73" w:rsidP="004D0B73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</w:pPr>
      <w:r w:rsidRPr="004D0B73">
        <w:rPr>
          <w:rFonts w:ascii="Roboto" w:eastAsia="Times New Roman" w:hAnsi="Roboto" w:cs="Times New Roman"/>
          <w:color w:val="000000"/>
          <w:sz w:val="21"/>
          <w:szCs w:val="21"/>
          <w:lang w:eastAsia="ru-RU"/>
        </w:rPr>
        <w:t> </w:t>
      </w:r>
    </w:p>
    <w:p w:rsidR="00DC2D9D" w:rsidRDefault="00DC2D9D"/>
    <w:sectPr w:rsidR="00DC2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B73"/>
    <w:rsid w:val="004D0B73"/>
    <w:rsid w:val="00DC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D0B7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D0B7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SGSN 11</dc:creator>
  <cp:lastModifiedBy>SGSN 11</cp:lastModifiedBy>
  <cp:revision>1</cp:revision>
  <dcterms:created xsi:type="dcterms:W3CDTF">2020-11-05T08:26:00Z</dcterms:created>
  <dcterms:modified xsi:type="dcterms:W3CDTF">2020-11-05T08:27:00Z</dcterms:modified>
</cp:coreProperties>
</file>